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ECA5" w14:textId="53A90381" w:rsidR="001D30C9" w:rsidRDefault="001D30C9" w:rsidP="004866E2">
      <w:pPr>
        <w:spacing w:after="0" w:line="240" w:lineRule="auto"/>
        <w:ind w:left="7230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5F84B66" w14:textId="77777777" w:rsidR="00A17F65" w:rsidRDefault="00A17F65" w:rsidP="004866E2">
      <w:pPr>
        <w:spacing w:after="0" w:line="240" w:lineRule="auto"/>
        <w:ind w:left="7230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A070284" w14:textId="77777777" w:rsidR="00A17F65" w:rsidRPr="00BF1065" w:rsidRDefault="00A17F65" w:rsidP="00A17F6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69F85353" w14:textId="77777777" w:rsidR="00A17F65" w:rsidRPr="00BF1065" w:rsidRDefault="00A17F65" w:rsidP="00A17F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6A17B07" w14:textId="77777777" w:rsidR="00A17F65" w:rsidRPr="00BF1065" w:rsidRDefault="00A17F65" w:rsidP="00A17F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2BF9C09E" w14:textId="77777777" w:rsidR="00A17F65" w:rsidRPr="00BF1065" w:rsidRDefault="00A17F65" w:rsidP="00A17F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275F37A7" w14:textId="205842E6" w:rsidR="00A17F65" w:rsidRDefault="00A17F65" w:rsidP="00A17F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AB323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"20" января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AB323F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7A76779A" w14:textId="73939652" w:rsidR="00314DF8" w:rsidRDefault="00314DF8" w:rsidP="00A17F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FACD75" w14:textId="77777777" w:rsidR="00A17F65" w:rsidRPr="00A17F65" w:rsidRDefault="00A17F65" w:rsidP="00A17F6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45C2F4" w14:textId="77777777" w:rsidR="00090EF0" w:rsidRDefault="00090EF0" w:rsidP="00972CF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D738D2" w14:textId="09056D7B" w:rsidR="00314DF8" w:rsidRPr="00A17F65" w:rsidRDefault="00314DF8" w:rsidP="00972CF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17F65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34AB9D17" w14:textId="77777777" w:rsidR="00314DF8" w:rsidRPr="00A17F65" w:rsidRDefault="00314DF8" w:rsidP="00972CF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17F65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32E470D3" w14:textId="77777777" w:rsidR="00B84506" w:rsidRPr="00A17F65" w:rsidRDefault="00314DF8" w:rsidP="00972CF5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17F65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A17F65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6F678CE9" w14:textId="77777777" w:rsidR="00B84506" w:rsidRPr="00A17F65" w:rsidRDefault="00314DF8" w:rsidP="00972CF5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17F65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6396305D" w14:textId="77777777" w:rsidR="00B84506" w:rsidRPr="00A17F65" w:rsidRDefault="00314DF8" w:rsidP="00972CF5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17F65">
        <w:rPr>
          <w:rFonts w:ascii="Times New Roman" w:eastAsia="Calibri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  <w:bookmarkStart w:id="1" w:name="_Hlk125037693"/>
      <w:bookmarkStart w:id="2" w:name="_Hlk125037818"/>
      <w:bookmarkStart w:id="3" w:name="_Hlk125038759"/>
      <w:bookmarkStart w:id="4" w:name="_Hlk125038624"/>
    </w:p>
    <w:p w14:paraId="56F8A28B" w14:textId="77777777" w:rsidR="00B84506" w:rsidRPr="00A17F65" w:rsidRDefault="00B84506" w:rsidP="00972CF5">
      <w:pPr>
        <w:pStyle w:val="a7"/>
        <w:numPr>
          <w:ilvl w:val="0"/>
          <w:numId w:val="1"/>
        </w:numPr>
        <w:spacing w:line="240" w:lineRule="auto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 w:rsidRPr="00A17F65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с </w:t>
      </w:r>
      <w:r w:rsidRPr="00A17F65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указанием ФИО и даты рождения пациента и латы проведения иследования</w:t>
      </w:r>
    </w:p>
    <w:p w14:paraId="340C912F" w14:textId="15BD3CEC" w:rsidR="00562988" w:rsidRPr="00A17F65" w:rsidRDefault="00314DF8" w:rsidP="00972CF5">
      <w:pPr>
        <w:pStyle w:val="a7"/>
        <w:numPr>
          <w:ilvl w:val="0"/>
          <w:numId w:val="1"/>
        </w:numPr>
        <w:spacing w:line="240" w:lineRule="auto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 w:rsidRPr="00A17F6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1"/>
      <w:bookmarkEnd w:id="2"/>
      <w:bookmarkEnd w:id="3"/>
      <w:r w:rsidRPr="00A17F65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A17F65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A17F65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A17F65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@</w:t>
      </w:r>
      <w:bookmarkEnd w:id="4"/>
      <w:r w:rsidRPr="00A17F65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A17F65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A17F65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tbl>
      <w:tblPr>
        <w:tblStyle w:val="a8"/>
        <w:tblpPr w:leftFromText="180" w:rightFromText="180" w:vertAnchor="text" w:horzAnchor="margin" w:tblpY="176"/>
        <w:tblW w:w="10485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850"/>
        <w:gridCol w:w="851"/>
        <w:gridCol w:w="992"/>
        <w:gridCol w:w="6237"/>
      </w:tblGrid>
      <w:tr w:rsidR="006605BD" w:rsidRPr="00363417" w14:paraId="1D4DF31F" w14:textId="77777777" w:rsidTr="00B84506">
        <w:tc>
          <w:tcPr>
            <w:tcW w:w="534" w:type="dxa"/>
            <w:vAlign w:val="center"/>
          </w:tcPr>
          <w:p w14:paraId="612A7836" w14:textId="77777777" w:rsidR="006605BD" w:rsidRPr="00363417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1021" w:type="dxa"/>
            <w:vAlign w:val="center"/>
          </w:tcPr>
          <w:p w14:paraId="35529C0A" w14:textId="60771D0E" w:rsidR="006605BD" w:rsidRPr="00363417" w:rsidRDefault="00A17F65" w:rsidP="00A17F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Профиль</w:t>
            </w:r>
            <w:r w:rsidR="006605BD" w:rsidRPr="0036341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коек</w:t>
            </w:r>
          </w:p>
        </w:tc>
        <w:tc>
          <w:tcPr>
            <w:tcW w:w="850" w:type="dxa"/>
            <w:vAlign w:val="center"/>
          </w:tcPr>
          <w:p w14:paraId="3D38FF1A" w14:textId="77777777" w:rsidR="006605BD" w:rsidRPr="00363417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</w:rPr>
              <w:t>Код МКБ-10</w:t>
            </w:r>
          </w:p>
        </w:tc>
        <w:tc>
          <w:tcPr>
            <w:tcW w:w="851" w:type="dxa"/>
            <w:vAlign w:val="center"/>
          </w:tcPr>
          <w:p w14:paraId="4E9F6F9F" w14:textId="77777777" w:rsidR="006605BD" w:rsidRPr="00363417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</w:rPr>
              <w:t>Код операции</w:t>
            </w:r>
          </w:p>
        </w:tc>
        <w:tc>
          <w:tcPr>
            <w:tcW w:w="992" w:type="dxa"/>
            <w:vAlign w:val="center"/>
          </w:tcPr>
          <w:p w14:paraId="558A052C" w14:textId="77777777" w:rsidR="006605BD" w:rsidRPr="00363417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</w:rPr>
              <w:t>Цель госпитализации</w:t>
            </w:r>
          </w:p>
        </w:tc>
        <w:tc>
          <w:tcPr>
            <w:tcW w:w="6237" w:type="dxa"/>
            <w:vAlign w:val="center"/>
          </w:tcPr>
          <w:p w14:paraId="2AF53DBB" w14:textId="77777777" w:rsidR="006605BD" w:rsidRPr="00363417" w:rsidRDefault="006605BD" w:rsidP="006310E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</w:rPr>
              <w:t>Лабораторно- инструментальные исследования</w:t>
            </w:r>
          </w:p>
        </w:tc>
      </w:tr>
      <w:tr w:rsidR="0089674A" w:rsidRPr="00363417" w14:paraId="42CB25EB" w14:textId="77777777" w:rsidTr="00B84506">
        <w:trPr>
          <w:trHeight w:val="420"/>
        </w:trPr>
        <w:tc>
          <w:tcPr>
            <w:tcW w:w="534" w:type="dxa"/>
            <w:vMerge w:val="restart"/>
            <w:vAlign w:val="center"/>
          </w:tcPr>
          <w:p w14:paraId="45CF4A17" w14:textId="0ED6BC99" w:rsidR="00B84506" w:rsidRPr="00363417" w:rsidRDefault="00AF14A8" w:rsidP="004866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3C5A28F3" w14:textId="13EF1C5E" w:rsidR="0089674A" w:rsidRPr="00363417" w:rsidRDefault="00C77703" w:rsidP="00C77703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Эндокринологиче</w:t>
            </w:r>
            <w:r w:rsidR="0089674A" w:rsidRPr="00363417">
              <w:rPr>
                <w:rFonts w:ascii="Times New Roman" w:hAnsi="Times New Roman" w:cs="Times New Roman"/>
                <w:b/>
                <w:sz w:val="18"/>
                <w:szCs w:val="20"/>
              </w:rPr>
              <w:t>ский профиль</w:t>
            </w:r>
          </w:p>
        </w:tc>
        <w:tc>
          <w:tcPr>
            <w:tcW w:w="850" w:type="dxa"/>
            <w:vMerge w:val="restart"/>
            <w:vAlign w:val="center"/>
          </w:tcPr>
          <w:p w14:paraId="69E1CEE3" w14:textId="08108D7F" w:rsidR="0089674A" w:rsidRPr="00C815FB" w:rsidRDefault="00C815FB" w:rsidP="006310E2">
            <w:pPr>
              <w:tabs>
                <w:tab w:val="left" w:pos="367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Е04.1</w:t>
            </w:r>
          </w:p>
        </w:tc>
        <w:tc>
          <w:tcPr>
            <w:tcW w:w="851" w:type="dxa"/>
            <w:vMerge w:val="restart"/>
            <w:vAlign w:val="center"/>
          </w:tcPr>
          <w:p w14:paraId="4E82778E" w14:textId="38EA6B55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6C855547" w14:textId="77777777" w:rsidR="006310E2" w:rsidRPr="00363417" w:rsidRDefault="006310E2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225831F" w14:textId="77777777" w:rsidR="006310E2" w:rsidRPr="00363417" w:rsidRDefault="006310E2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СМП</w:t>
            </w:r>
          </w:p>
          <w:p w14:paraId="7E317380" w14:textId="3A7B86A0" w:rsidR="0089674A" w:rsidRPr="00363417" w:rsidRDefault="00C815FB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06</w:t>
            </w:r>
            <w:r w:rsidR="006C717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98</w:t>
            </w:r>
          </w:p>
          <w:p w14:paraId="16CAC7CA" w14:textId="2CA8B765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5ABA1B1F" w14:textId="24BD1286" w:rsidR="00314DF8" w:rsidRPr="00363417" w:rsidRDefault="00DC7908" w:rsidP="006310E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Малоинва</w:t>
            </w:r>
            <w:r w:rsidR="0089674A" w:rsidRPr="0036341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зивное вмешательство: </w:t>
            </w:r>
          </w:p>
          <w:p w14:paraId="5E071351" w14:textId="746303FA" w:rsidR="00DC7908" w:rsidRPr="00DC7908" w:rsidRDefault="00DC7908" w:rsidP="00DC7908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C7908">
              <w:rPr>
                <w:rFonts w:ascii="Times New Roman" w:hAnsi="Times New Roman" w:cs="Times New Roman"/>
                <w:b/>
                <w:sz w:val="18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ЧА </w:t>
            </w:r>
            <w:r w:rsidRPr="00DC790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доброкачественных новообразований щитовидной железы </w:t>
            </w:r>
          </w:p>
          <w:p w14:paraId="7C5F4461" w14:textId="61D907A4" w:rsidR="0089674A" w:rsidRPr="00363417" w:rsidRDefault="0089674A" w:rsidP="006310E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37" w:type="dxa"/>
          </w:tcPr>
          <w:p w14:paraId="576DF3BE" w14:textId="07471D63" w:rsidR="00314DF8" w:rsidRPr="00363417" w:rsidRDefault="00A17F65" w:rsidP="00972C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Общий анализ крови </w:t>
            </w:r>
            <w:r w:rsidR="0089674A"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с лейко</w:t>
            </w:r>
            <w:r w:rsidR="004866E2"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цитарной </w:t>
            </w:r>
            <w:r w:rsidR="0089674A"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формулой, СОЭ </w:t>
            </w:r>
          </w:p>
          <w:p w14:paraId="6DCF3FB0" w14:textId="7B149C42" w:rsidR="0089674A" w:rsidRPr="00363417" w:rsidRDefault="00314DF8" w:rsidP="00972CF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(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действительно</w:t>
            </w:r>
            <w:r w:rsidR="004866E2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 до  </w:t>
            </w:r>
            <w:r w:rsidR="008361C0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14 </w:t>
            </w:r>
            <w:r w:rsidR="0089674A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дней)</w:t>
            </w:r>
          </w:p>
        </w:tc>
      </w:tr>
      <w:tr w:rsidR="0089674A" w:rsidRPr="00363417" w14:paraId="05881B82" w14:textId="77777777" w:rsidTr="00B84506">
        <w:trPr>
          <w:trHeight w:val="199"/>
        </w:trPr>
        <w:tc>
          <w:tcPr>
            <w:tcW w:w="534" w:type="dxa"/>
            <w:vMerge/>
          </w:tcPr>
          <w:p w14:paraId="067A8044" w14:textId="04241FB2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textDirection w:val="btLr"/>
            <w:vAlign w:val="center"/>
          </w:tcPr>
          <w:p w14:paraId="249766A7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5F49E61D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10DD162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14:paraId="7A267730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456B51F7" w14:textId="60BB8D8E" w:rsidR="006310E2" w:rsidRDefault="0089674A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Общий анализ </w:t>
            </w:r>
            <w:r w:rsidRPr="00090E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мочи </w:t>
            </w:r>
            <w:r w:rsidR="00C25076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(</w:t>
            </w:r>
            <w:r w:rsidR="00314DF8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действительно </w:t>
            </w:r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до  </w:t>
            </w:r>
            <w:r w:rsidR="008361C0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</w:t>
            </w:r>
            <w:r w:rsidR="004866E2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дней)</w:t>
            </w:r>
          </w:p>
          <w:p w14:paraId="30B75D6E" w14:textId="0F803B30" w:rsidR="00A17F65" w:rsidRPr="00363417" w:rsidRDefault="00A17F65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89674A" w:rsidRPr="00363417" w14:paraId="246A3EAF" w14:textId="77777777" w:rsidTr="00B84506">
        <w:trPr>
          <w:trHeight w:val="645"/>
        </w:trPr>
        <w:tc>
          <w:tcPr>
            <w:tcW w:w="534" w:type="dxa"/>
            <w:vMerge/>
          </w:tcPr>
          <w:p w14:paraId="5193F5D6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344AE1A5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37BF34AF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D54EAD3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DC184E7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0E7C7072" w14:textId="16326AE9" w:rsidR="0089674A" w:rsidRDefault="00140C27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Биохимический анализ крови: </w:t>
            </w:r>
            <w:r w:rsidR="00DC7908" w:rsidRPr="00DC7908">
              <w:rPr>
                <w:rFonts w:ascii="Segoe UI" w:hAnsi="Segoe UI" w:cs="Segoe UI"/>
                <w:color w:val="202124"/>
                <w:shd w:val="clear" w:color="auto" w:fill="FFFFFF"/>
              </w:rPr>
              <w:t xml:space="preserve"> </w:t>
            </w:r>
            <w:r w:rsidR="006C717B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общий белок, АЛТ, АСТ, общий билирубин,  креатинин, мочевина, </w:t>
            </w:r>
            <w:r w:rsidR="00DC7908" w:rsidRPr="00DC790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глюкоза</w:t>
            </w:r>
            <w:r w:rsidR="006C717B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>, общий холестерин</w:t>
            </w:r>
            <w:r w:rsidR="00DC790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="008361C0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(действительно </w:t>
            </w:r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 до </w:t>
            </w:r>
            <w:r w:rsidR="008361C0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</w:t>
            </w:r>
            <w:r w:rsidR="00314DF8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дней</w:t>
            </w:r>
            <w:r w:rsidR="00314DF8"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)</w:t>
            </w:r>
          </w:p>
          <w:p w14:paraId="04149379" w14:textId="41344D0B" w:rsidR="00A17F65" w:rsidRPr="00363417" w:rsidRDefault="00A17F65" w:rsidP="00972C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89674A" w:rsidRPr="00363417" w14:paraId="57EA1118" w14:textId="77777777" w:rsidTr="00B84506">
        <w:trPr>
          <w:trHeight w:val="295"/>
        </w:trPr>
        <w:tc>
          <w:tcPr>
            <w:tcW w:w="534" w:type="dxa"/>
            <w:vMerge/>
          </w:tcPr>
          <w:p w14:paraId="1AF37C1E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09ED5BC0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71E587D9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D998B64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6854309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56794C9F" w14:textId="273C3CD2" w:rsidR="00A17F65" w:rsidRDefault="00090EF0" w:rsidP="00972C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090E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Коагулограмма  (действительно </w:t>
            </w:r>
            <w:r w:rsidR="00B7697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до  </w:t>
            </w:r>
            <w:r w:rsidRPr="00090E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14 дней)</w:t>
            </w:r>
          </w:p>
          <w:p w14:paraId="51698397" w14:textId="69EA2423" w:rsidR="00090EF0" w:rsidRPr="00363417" w:rsidRDefault="00090EF0" w:rsidP="00972C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89674A" w:rsidRPr="00363417" w14:paraId="4E1C279F" w14:textId="77777777" w:rsidTr="00B84506">
        <w:trPr>
          <w:trHeight w:val="179"/>
        </w:trPr>
        <w:tc>
          <w:tcPr>
            <w:tcW w:w="534" w:type="dxa"/>
            <w:vMerge/>
          </w:tcPr>
          <w:p w14:paraId="499EAC5F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67478C81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3EE62274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1DC4A412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BD6F78B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705E3A29" w14:textId="153A1457" w:rsidR="00A17F65" w:rsidRDefault="00090EF0" w:rsidP="00090E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Микрореакция (действительно </w:t>
            </w:r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  до  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</w:t>
            </w:r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  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месяц)</w:t>
            </w:r>
          </w:p>
          <w:p w14:paraId="20E36165" w14:textId="31645002" w:rsidR="00090EF0" w:rsidRPr="00090EF0" w:rsidRDefault="00090EF0" w:rsidP="00090E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89674A" w:rsidRPr="00363417" w14:paraId="705F6D16" w14:textId="77777777" w:rsidTr="00B84506">
        <w:trPr>
          <w:trHeight w:val="225"/>
        </w:trPr>
        <w:tc>
          <w:tcPr>
            <w:tcW w:w="534" w:type="dxa"/>
            <w:vMerge/>
          </w:tcPr>
          <w:p w14:paraId="2928E6FD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213244CA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085BACC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455BED8A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2B4A145" w14:textId="77777777" w:rsidR="0089674A" w:rsidRPr="00363417" w:rsidRDefault="0089674A" w:rsidP="006310E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0D1E9478" w14:textId="77777777" w:rsidR="008361C0" w:rsidRPr="00090EF0" w:rsidRDefault="008361C0" w:rsidP="008361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Гормоны щитовидной железы (FТ3, FТ4, ТТГ, А- ТПО )</w:t>
            </w:r>
          </w:p>
          <w:p w14:paraId="169BC19D" w14:textId="702B11DD" w:rsidR="00A17F65" w:rsidRPr="00090EF0" w:rsidRDefault="008361C0" w:rsidP="008361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(действительно </w:t>
            </w:r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 до  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3 месяца)</w:t>
            </w:r>
          </w:p>
        </w:tc>
      </w:tr>
      <w:tr w:rsidR="00314DF8" w:rsidRPr="00363417" w14:paraId="2AF941B6" w14:textId="77777777" w:rsidTr="00B84506">
        <w:trPr>
          <w:trHeight w:val="287"/>
        </w:trPr>
        <w:tc>
          <w:tcPr>
            <w:tcW w:w="534" w:type="dxa"/>
            <w:vMerge/>
          </w:tcPr>
          <w:p w14:paraId="17E8E905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5D401A64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7F41434B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5BF93B4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19212D2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540BA986" w14:textId="3F593755" w:rsidR="00314DF8" w:rsidRDefault="00314DF8" w:rsidP="00972CF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ИФА на вирусные гепатиты В и С </w:t>
            </w:r>
            <w:r w:rsidR="002B28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(действительно </w:t>
            </w:r>
            <w:r w:rsidR="00B76977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до  </w:t>
            </w:r>
            <w:r w:rsidR="002B287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  <w:r w:rsidR="008361C0" w:rsidRPr="00090E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090E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месяца)</w:t>
            </w:r>
          </w:p>
          <w:p w14:paraId="7BE8BF21" w14:textId="4D9479A6" w:rsidR="00A17F65" w:rsidRPr="00363417" w:rsidRDefault="00A17F65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314DF8" w:rsidRPr="00363417" w14:paraId="02576994" w14:textId="77777777" w:rsidTr="00B84506">
        <w:trPr>
          <w:trHeight w:val="70"/>
        </w:trPr>
        <w:tc>
          <w:tcPr>
            <w:tcW w:w="534" w:type="dxa"/>
            <w:vMerge/>
          </w:tcPr>
          <w:p w14:paraId="375AAC2C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2C8BF1A5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FC222BB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25BB26F8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7D2B311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0A495C21" w14:textId="2EA4F418" w:rsidR="00A82468" w:rsidRDefault="00314DF8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ИФА на </w:t>
            </w:r>
            <w:r w:rsidRPr="00090E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ВИЧ 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(действительно</w:t>
            </w:r>
            <w:r w:rsidR="004866E2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до  </w:t>
            </w:r>
            <w:r w:rsidR="00AB323F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14</w:t>
            </w:r>
            <w:bookmarkStart w:id="5" w:name="_GoBack"/>
            <w:bookmarkEnd w:id="5"/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 </w:t>
            </w:r>
            <w:r w:rsidR="002B287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дней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)</w:t>
            </w:r>
          </w:p>
          <w:p w14:paraId="092C44C8" w14:textId="5E7359D0" w:rsidR="00A17F65" w:rsidRPr="00363417" w:rsidRDefault="00A17F65" w:rsidP="00972C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314DF8" w:rsidRPr="00363417" w14:paraId="695EF0C9" w14:textId="77777777" w:rsidTr="00B84506">
        <w:trPr>
          <w:trHeight w:val="209"/>
        </w:trPr>
        <w:tc>
          <w:tcPr>
            <w:tcW w:w="534" w:type="dxa"/>
            <w:vMerge/>
          </w:tcPr>
          <w:p w14:paraId="6E79F9BA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586E3FCB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18923CD2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D33F13F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CBAD721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6F57163A" w14:textId="4F48EA47" w:rsidR="00A82468" w:rsidRDefault="00314DF8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Группа крови, резус-</w:t>
            </w:r>
            <w:r w:rsidRPr="00090E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фактор 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(</w:t>
            </w:r>
            <w:r w:rsidR="00601AD2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действительно </w:t>
            </w:r>
            <w:r w:rsidR="00B7697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val="kk-KZ"/>
              </w:rPr>
              <w:t xml:space="preserve"> до  </w:t>
            </w:r>
            <w:r w:rsidR="00601AD2"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 год</w:t>
            </w:r>
            <w:r w:rsidRPr="00090EF0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)</w:t>
            </w:r>
          </w:p>
          <w:p w14:paraId="76DBCD46" w14:textId="3B60101E" w:rsidR="00A17F65" w:rsidRPr="00363417" w:rsidRDefault="00A17F65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314DF8" w:rsidRPr="00363417" w14:paraId="3FF7ED8D" w14:textId="77777777" w:rsidTr="00B84506">
        <w:trPr>
          <w:trHeight w:val="136"/>
        </w:trPr>
        <w:tc>
          <w:tcPr>
            <w:tcW w:w="534" w:type="dxa"/>
            <w:vMerge/>
          </w:tcPr>
          <w:p w14:paraId="0DF03901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53C78A7E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918E748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B6D7106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095D209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3EA7A1D3" w14:textId="3B508CE5" w:rsidR="00A82468" w:rsidRPr="00363417" w:rsidRDefault="00314DF8" w:rsidP="00972C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Рентгенография органов грудной клетки со снимком и заключением </w:t>
            </w: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(действительно </w:t>
            </w:r>
            <w:r w:rsidR="00B7697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до </w:t>
            </w:r>
            <w:r w:rsidR="00E447A9"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6 месяцев</w:t>
            </w: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)</w:t>
            </w:r>
          </w:p>
        </w:tc>
      </w:tr>
      <w:tr w:rsidR="00314DF8" w:rsidRPr="00363417" w14:paraId="768B98E4" w14:textId="77777777" w:rsidTr="00B84506">
        <w:trPr>
          <w:trHeight w:val="167"/>
        </w:trPr>
        <w:tc>
          <w:tcPr>
            <w:tcW w:w="534" w:type="dxa"/>
            <w:vMerge/>
          </w:tcPr>
          <w:p w14:paraId="25610228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159C7A65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F104192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1DB03F74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D7F0E93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12886793" w14:textId="78D093B7" w:rsidR="00314DF8" w:rsidRDefault="00314DF8" w:rsidP="00972CF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ЭКГ с расшифровкой </w:t>
            </w: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(действительно</w:t>
            </w:r>
            <w:r w:rsidR="00B7697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до  </w:t>
            </w: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1 месяц)</w:t>
            </w:r>
          </w:p>
          <w:p w14:paraId="5E5ED12D" w14:textId="067D5DE9" w:rsidR="00090EF0" w:rsidRPr="00363417" w:rsidRDefault="00090EF0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314DF8" w:rsidRPr="00363417" w14:paraId="6D876F65" w14:textId="77777777" w:rsidTr="00B84506">
        <w:trPr>
          <w:trHeight w:val="243"/>
        </w:trPr>
        <w:tc>
          <w:tcPr>
            <w:tcW w:w="534" w:type="dxa"/>
            <w:vMerge/>
          </w:tcPr>
          <w:p w14:paraId="545EDC98" w14:textId="5915C190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56419B11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DE6D1F0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B10BA35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BC44AD0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58BF2AD5" w14:textId="11211168" w:rsidR="004866E2" w:rsidRPr="00363417" w:rsidRDefault="00314DF8" w:rsidP="00972C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УЗИ</w:t>
            </w:r>
            <w:r w:rsidR="004F5BF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щитовидной железы</w:t>
            </w:r>
          </w:p>
          <w:p w14:paraId="5476D2F2" w14:textId="74BFBDA7" w:rsidR="00314DF8" w:rsidRPr="00363417" w:rsidRDefault="00314DF8" w:rsidP="00972C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(действительно </w:t>
            </w:r>
            <w:r w:rsidR="00B769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 xml:space="preserve"> до  </w:t>
            </w:r>
            <w:r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6</w:t>
            </w:r>
            <w:r w:rsidR="00E447A9"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месяцев)</w:t>
            </w:r>
          </w:p>
        </w:tc>
      </w:tr>
      <w:tr w:rsidR="00314DF8" w:rsidRPr="00363417" w14:paraId="5CA94DA7" w14:textId="77777777" w:rsidTr="00B84506">
        <w:trPr>
          <w:trHeight w:val="544"/>
        </w:trPr>
        <w:tc>
          <w:tcPr>
            <w:tcW w:w="534" w:type="dxa"/>
            <w:vMerge/>
          </w:tcPr>
          <w:p w14:paraId="7FC95B97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6ACBB141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35BFF21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1B5759DA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11EB0E7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06AF66BF" w14:textId="68C3C30C" w:rsidR="004F5BF2" w:rsidRPr="008C4274" w:rsidRDefault="00907346" w:rsidP="00972CF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Тонкоигольна</w:t>
            </w:r>
            <w:r w:rsidR="004F5BF2" w:rsidRPr="008C4274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ая аспирационная пункционная биопсия (ТАПБ) узла – </w:t>
            </w:r>
            <w:r w:rsidR="008C4274" w:rsidRPr="008C4274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двукратно</w:t>
            </w:r>
            <w:r w:rsidR="004F5BF2" w:rsidRPr="008C4274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="008C4274" w:rsidRPr="008C4274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с интервалом 6 месяцев - 1 год.</w:t>
            </w:r>
          </w:p>
          <w:p w14:paraId="04E191F6" w14:textId="4A064664" w:rsidR="00314DF8" w:rsidRPr="00363417" w:rsidRDefault="00314DF8" w:rsidP="00972C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314DF8" w:rsidRPr="00363417" w14:paraId="34670422" w14:textId="77777777" w:rsidTr="00B84506">
        <w:trPr>
          <w:trHeight w:val="504"/>
        </w:trPr>
        <w:tc>
          <w:tcPr>
            <w:tcW w:w="534" w:type="dxa"/>
            <w:vMerge/>
          </w:tcPr>
          <w:p w14:paraId="3D5250AF" w14:textId="73621CA0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19EE2F54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619A769D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7DC561B6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8428CEA" w14:textId="77777777" w:rsidR="00314DF8" w:rsidRPr="00363417" w:rsidRDefault="00314DF8" w:rsidP="00314DF8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37" w:type="dxa"/>
          </w:tcPr>
          <w:p w14:paraId="3AC2CB2A" w14:textId="77777777" w:rsidR="00E447A9" w:rsidRPr="00363417" w:rsidRDefault="00E447A9" w:rsidP="00972CF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u w:val="single"/>
              </w:rPr>
            </w:pP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u w:val="single"/>
              </w:rPr>
              <w:t>Дополнительно:</w:t>
            </w:r>
          </w:p>
          <w:p w14:paraId="331F6CFC" w14:textId="127C809D" w:rsidR="008C4274" w:rsidRPr="008C4274" w:rsidRDefault="008C4274" w:rsidP="008C4274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К</w:t>
            </w:r>
            <w:r w:rsidRPr="008C4274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омпьютерная томография (КТ) шеи и грудной клетки при подозрении на загрудинное распространение узлов.</w:t>
            </w:r>
          </w:p>
          <w:p w14:paraId="3C2D886A" w14:textId="7ADB9857" w:rsidR="00314DF8" w:rsidRPr="008C4274" w:rsidRDefault="00314DF8" w:rsidP="00972CF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(</w:t>
            </w:r>
            <w:r w:rsidR="00E447A9"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действительно </w:t>
            </w:r>
            <w:r w:rsidR="00B7697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val="kk-KZ"/>
              </w:rPr>
              <w:t xml:space="preserve"> до  </w:t>
            </w:r>
            <w:r w:rsidR="008C427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6 мес</w:t>
            </w:r>
            <w:r w:rsidRPr="003634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)</w:t>
            </w:r>
          </w:p>
          <w:p w14:paraId="5FF63FE0" w14:textId="77777777" w:rsidR="00E447A9" w:rsidRPr="00363417" w:rsidRDefault="00E447A9" w:rsidP="00972C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  <w:u w:val="single"/>
                <w:lang w:val="kk-KZ"/>
              </w:rPr>
            </w:pPr>
          </w:p>
          <w:p w14:paraId="18C65282" w14:textId="77777777" w:rsidR="00907346" w:rsidRDefault="00E447A9" w:rsidP="00972CF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u w:val="single"/>
                <w:lang w:val="kk-KZ"/>
              </w:rPr>
              <w:t>ПРИ НАЛИЧИИ СОПУТСТВУЮЩЕЙ ПАТОЛОГИИ</w:t>
            </w: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</w:t>
            </w:r>
          </w:p>
          <w:p w14:paraId="484696E3" w14:textId="0672DBBF" w:rsidR="00AD1470" w:rsidRPr="00363417" w:rsidRDefault="00AD1470" w:rsidP="00972CF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Консультация узких специ</w:t>
            </w:r>
            <w:r w:rsidR="00B20607"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а</w:t>
            </w:r>
            <w:r w:rsidRPr="00363417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листов.</w:t>
            </w:r>
            <w:r w:rsidR="002B2870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.  (Действительно до 3</w:t>
            </w:r>
            <w:r w:rsidR="00B23CDD" w:rsidRPr="00B23CD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 мес)</w:t>
            </w:r>
          </w:p>
          <w:p w14:paraId="2F66D40E" w14:textId="4123F955" w:rsidR="00B84506" w:rsidRPr="00907346" w:rsidRDefault="00B84506" w:rsidP="00972CF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Консультация </w:t>
            </w:r>
            <w:r w:rsidR="00907346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кардиолога </w:t>
            </w:r>
            <w:r w:rsidR="00907346" w:rsidRPr="0090734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при сердечно-сосудистых заболеваниях</w:t>
            </w:r>
          </w:p>
          <w:p w14:paraId="16E1E5D8" w14:textId="3D532447" w:rsidR="00B84506" w:rsidRPr="00363417" w:rsidRDefault="00B84506" w:rsidP="00972CF5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Консультация сосудистого хирурга </w:t>
            </w:r>
            <w:r w:rsidRPr="003634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при варикозной болезни вен нижн</w:t>
            </w:r>
            <w:r w:rsidR="00B20607" w:rsidRPr="003634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их </w:t>
            </w:r>
            <w:r w:rsidRPr="003634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конечностей</w:t>
            </w:r>
          </w:p>
          <w:p w14:paraId="4C24A1FB" w14:textId="706B1402" w:rsidR="00B84506" w:rsidRPr="00363417" w:rsidRDefault="00B84506" w:rsidP="00972CF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3634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Консультация невропатолога,</w:t>
            </w:r>
            <w:r w:rsidR="00B20607" w:rsidRPr="003634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  <w:r w:rsidRPr="003634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МРТ головного</w:t>
            </w:r>
            <w:r w:rsidR="00B20607" w:rsidRPr="003634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мозга</w:t>
            </w:r>
            <w:r w:rsidRPr="003634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при ОНМК в анамнезе</w:t>
            </w:r>
          </w:p>
        </w:tc>
      </w:tr>
    </w:tbl>
    <w:p w14:paraId="486F8214" w14:textId="77777777" w:rsidR="00BC73B4" w:rsidRDefault="00BC73B4" w:rsidP="00660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66E6AC" w14:textId="0CF58829" w:rsidR="00DC7908" w:rsidRPr="006310E2" w:rsidRDefault="00DC7908" w:rsidP="008C4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c"/>
          <w:rFonts w:ascii="Segoe UI" w:hAnsi="Segoe UI" w:cs="Segoe UI"/>
          <w:color w:val="202124"/>
          <w:shd w:val="clear" w:color="auto" w:fill="FFFFFF"/>
        </w:rPr>
        <w:lastRenderedPageBreak/>
        <w:t> </w:t>
      </w:r>
      <w:r>
        <w:rPr>
          <w:rFonts w:ascii="Segoe UI" w:hAnsi="Segoe UI" w:cs="Segoe UI"/>
          <w:color w:val="202124"/>
          <w:shd w:val="clear" w:color="auto" w:fill="FFFFFF"/>
        </w:rPr>
        <w:t xml:space="preserve"> </w:t>
      </w:r>
    </w:p>
    <w:sectPr w:rsidR="00DC7908" w:rsidRPr="006310E2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04940" w14:textId="77777777" w:rsidR="00F5149A" w:rsidRDefault="00F5149A" w:rsidP="002010E6">
      <w:pPr>
        <w:spacing w:after="0" w:line="240" w:lineRule="auto"/>
      </w:pPr>
      <w:r>
        <w:separator/>
      </w:r>
    </w:p>
  </w:endnote>
  <w:endnote w:type="continuationSeparator" w:id="0">
    <w:p w14:paraId="03EB29FB" w14:textId="77777777" w:rsidR="00F5149A" w:rsidRDefault="00F5149A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14A6" w14:textId="77777777" w:rsidR="00F5149A" w:rsidRDefault="00F5149A" w:rsidP="002010E6">
      <w:pPr>
        <w:spacing w:after="0" w:line="240" w:lineRule="auto"/>
      </w:pPr>
      <w:r>
        <w:separator/>
      </w:r>
    </w:p>
  </w:footnote>
  <w:footnote w:type="continuationSeparator" w:id="0">
    <w:p w14:paraId="27110269" w14:textId="77777777" w:rsidR="00F5149A" w:rsidRDefault="00F5149A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669C"/>
    <w:multiLevelType w:val="multilevel"/>
    <w:tmpl w:val="64A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0412DA"/>
    <w:rsid w:val="000474F0"/>
    <w:rsid w:val="00064ED7"/>
    <w:rsid w:val="00073BC9"/>
    <w:rsid w:val="00090EF0"/>
    <w:rsid w:val="000C310E"/>
    <w:rsid w:val="000D3DC2"/>
    <w:rsid w:val="000E21CB"/>
    <w:rsid w:val="00106A0A"/>
    <w:rsid w:val="00140C27"/>
    <w:rsid w:val="001441DA"/>
    <w:rsid w:val="00153A75"/>
    <w:rsid w:val="00155402"/>
    <w:rsid w:val="001D2593"/>
    <w:rsid w:val="001D30C9"/>
    <w:rsid w:val="001F13ED"/>
    <w:rsid w:val="002010E6"/>
    <w:rsid w:val="00253794"/>
    <w:rsid w:val="00255A33"/>
    <w:rsid w:val="002602EB"/>
    <w:rsid w:val="002745A6"/>
    <w:rsid w:val="002B2870"/>
    <w:rsid w:val="003014F2"/>
    <w:rsid w:val="00311637"/>
    <w:rsid w:val="00314DF8"/>
    <w:rsid w:val="00330C2F"/>
    <w:rsid w:val="003333A7"/>
    <w:rsid w:val="00360561"/>
    <w:rsid w:val="00363417"/>
    <w:rsid w:val="003761EB"/>
    <w:rsid w:val="00382126"/>
    <w:rsid w:val="003A203E"/>
    <w:rsid w:val="003B3C97"/>
    <w:rsid w:val="003C792A"/>
    <w:rsid w:val="003E5D71"/>
    <w:rsid w:val="00440B01"/>
    <w:rsid w:val="00475347"/>
    <w:rsid w:val="004866E2"/>
    <w:rsid w:val="00492CC9"/>
    <w:rsid w:val="004C00F6"/>
    <w:rsid w:val="004D03F3"/>
    <w:rsid w:val="004D07A8"/>
    <w:rsid w:val="004F5BF2"/>
    <w:rsid w:val="00512B8C"/>
    <w:rsid w:val="00562988"/>
    <w:rsid w:val="00582C5F"/>
    <w:rsid w:val="00601AD2"/>
    <w:rsid w:val="006254AF"/>
    <w:rsid w:val="006310E2"/>
    <w:rsid w:val="00636D1B"/>
    <w:rsid w:val="00642A07"/>
    <w:rsid w:val="00644E65"/>
    <w:rsid w:val="00653C75"/>
    <w:rsid w:val="00654038"/>
    <w:rsid w:val="006605BD"/>
    <w:rsid w:val="006C4F19"/>
    <w:rsid w:val="006C717B"/>
    <w:rsid w:val="006F2AE3"/>
    <w:rsid w:val="0072010A"/>
    <w:rsid w:val="007341E0"/>
    <w:rsid w:val="00744AB0"/>
    <w:rsid w:val="00760C01"/>
    <w:rsid w:val="007A77A8"/>
    <w:rsid w:val="007B5514"/>
    <w:rsid w:val="007E0C9F"/>
    <w:rsid w:val="007F645E"/>
    <w:rsid w:val="008361C0"/>
    <w:rsid w:val="00884432"/>
    <w:rsid w:val="0089674A"/>
    <w:rsid w:val="008A6624"/>
    <w:rsid w:val="008C3B2C"/>
    <w:rsid w:val="008C4274"/>
    <w:rsid w:val="00907346"/>
    <w:rsid w:val="00917195"/>
    <w:rsid w:val="00950073"/>
    <w:rsid w:val="00972CF5"/>
    <w:rsid w:val="009778FD"/>
    <w:rsid w:val="009B785A"/>
    <w:rsid w:val="00A1626F"/>
    <w:rsid w:val="00A17F65"/>
    <w:rsid w:val="00A6602D"/>
    <w:rsid w:val="00A82468"/>
    <w:rsid w:val="00AB323F"/>
    <w:rsid w:val="00AD1470"/>
    <w:rsid w:val="00AF14A8"/>
    <w:rsid w:val="00B20607"/>
    <w:rsid w:val="00B21964"/>
    <w:rsid w:val="00B23CDD"/>
    <w:rsid w:val="00B35DF5"/>
    <w:rsid w:val="00B64ECF"/>
    <w:rsid w:val="00B76977"/>
    <w:rsid w:val="00B84506"/>
    <w:rsid w:val="00B86B38"/>
    <w:rsid w:val="00BC73B4"/>
    <w:rsid w:val="00BD4E69"/>
    <w:rsid w:val="00C25076"/>
    <w:rsid w:val="00C514D1"/>
    <w:rsid w:val="00C70D01"/>
    <w:rsid w:val="00C77703"/>
    <w:rsid w:val="00C815FB"/>
    <w:rsid w:val="00CA02A4"/>
    <w:rsid w:val="00CB2531"/>
    <w:rsid w:val="00D059C9"/>
    <w:rsid w:val="00D308B6"/>
    <w:rsid w:val="00D34A34"/>
    <w:rsid w:val="00D701BC"/>
    <w:rsid w:val="00D93AE4"/>
    <w:rsid w:val="00DA4452"/>
    <w:rsid w:val="00DC7908"/>
    <w:rsid w:val="00E36389"/>
    <w:rsid w:val="00E42C4F"/>
    <w:rsid w:val="00E447A9"/>
    <w:rsid w:val="00E53004"/>
    <w:rsid w:val="00E9283B"/>
    <w:rsid w:val="00F15D33"/>
    <w:rsid w:val="00F35792"/>
    <w:rsid w:val="00F5149A"/>
    <w:rsid w:val="00F5307C"/>
    <w:rsid w:val="00F7774E"/>
    <w:rsid w:val="00F9250F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11CA"/>
  <w15:docId w15:val="{10E62339-1739-4AAE-84D1-D520B99A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03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745A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DC7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F4C0-9959-48E4-B367-6EF3AFBE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17</cp:revision>
  <cp:lastPrinted>2024-08-12T14:02:00Z</cp:lastPrinted>
  <dcterms:created xsi:type="dcterms:W3CDTF">2024-01-31T05:58:00Z</dcterms:created>
  <dcterms:modified xsi:type="dcterms:W3CDTF">2025-01-16T11:40:00Z</dcterms:modified>
</cp:coreProperties>
</file>